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950" w:rsidRDefault="00792950" w:rsidP="00792950">
      <w:pPr>
        <w:pStyle w:val="Default"/>
      </w:pPr>
    </w:p>
    <w:p w:rsidR="00792950" w:rsidRDefault="00792950" w:rsidP="00792950">
      <w:pPr>
        <w:pStyle w:val="Default"/>
      </w:pPr>
      <w:r>
        <w:t xml:space="preserve"> </w:t>
      </w:r>
    </w:p>
    <w:p w:rsidR="00792950" w:rsidRDefault="00792950" w:rsidP="0079295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The operational guidelines for processing of investor service requests for the purpose of transmission of securities are as under: </w:t>
      </w:r>
    </w:p>
    <w:p w:rsidR="00792950" w:rsidRDefault="00792950" w:rsidP="00792950">
      <w:pPr>
        <w:pStyle w:val="Default"/>
        <w:rPr>
          <w:sz w:val="23"/>
          <w:szCs w:val="23"/>
        </w:rPr>
      </w:pPr>
    </w:p>
    <w:p w:rsidR="00792950" w:rsidRDefault="00792950" w:rsidP="0079295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The RTA/Issuer Companies shall use the format for: </w:t>
      </w:r>
    </w:p>
    <w:p w:rsidR="00792950" w:rsidRDefault="00792950" w:rsidP="00792950">
      <w:pPr>
        <w:pStyle w:val="Default"/>
        <w:spacing w:after="21"/>
        <w:rPr>
          <w:sz w:val="23"/>
          <w:szCs w:val="23"/>
        </w:rPr>
      </w:pPr>
      <w:r>
        <w:rPr>
          <w:sz w:val="23"/>
          <w:szCs w:val="23"/>
        </w:rPr>
        <w:t>(</w:t>
      </w: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>) Transmission Request Form (“TRF”) – (</w:t>
      </w:r>
      <w:r>
        <w:rPr>
          <w:b/>
          <w:bCs/>
          <w:sz w:val="23"/>
          <w:szCs w:val="23"/>
        </w:rPr>
        <w:t xml:space="preserve">Annexure C), </w:t>
      </w:r>
    </w:p>
    <w:p w:rsidR="00792950" w:rsidRDefault="00792950" w:rsidP="00792950">
      <w:pPr>
        <w:pStyle w:val="Default"/>
        <w:spacing w:after="21"/>
        <w:rPr>
          <w:sz w:val="23"/>
          <w:szCs w:val="23"/>
        </w:rPr>
      </w:pPr>
      <w:r>
        <w:rPr>
          <w:sz w:val="23"/>
          <w:szCs w:val="23"/>
        </w:rPr>
        <w:t>(ii) Affidavit made on non-judicial stamp paper</w:t>
      </w:r>
      <w:r>
        <w:rPr>
          <w:sz w:val="23"/>
          <w:szCs w:val="23"/>
        </w:rPr>
        <w:t xml:space="preserve"> (Rs.100/-)</w:t>
      </w:r>
      <w:r>
        <w:rPr>
          <w:sz w:val="23"/>
          <w:szCs w:val="23"/>
        </w:rPr>
        <w:t>, to the effect of identification and claim of legal ownership to the securities (“Affidavit”) – (</w:t>
      </w:r>
      <w:r>
        <w:rPr>
          <w:b/>
          <w:bCs/>
          <w:sz w:val="23"/>
          <w:szCs w:val="23"/>
        </w:rPr>
        <w:t>Annexure D)</w:t>
      </w:r>
      <w:r>
        <w:rPr>
          <w:sz w:val="23"/>
          <w:szCs w:val="23"/>
        </w:rPr>
        <w:t xml:space="preserve">, </w:t>
      </w:r>
    </w:p>
    <w:p w:rsidR="00792950" w:rsidRDefault="00792950" w:rsidP="00792950">
      <w:pPr>
        <w:pStyle w:val="Default"/>
        <w:spacing w:after="21"/>
        <w:rPr>
          <w:sz w:val="23"/>
          <w:szCs w:val="23"/>
        </w:rPr>
      </w:pPr>
      <w:r>
        <w:rPr>
          <w:sz w:val="23"/>
          <w:szCs w:val="23"/>
        </w:rPr>
        <w:t>(iii) Indemnity Bond made on appropriate non-judicial stamp paper of appropriate value (“Indemnity Bond”</w:t>
      </w:r>
      <w:r>
        <w:rPr>
          <w:sz w:val="23"/>
          <w:szCs w:val="23"/>
        </w:rPr>
        <w:t xml:space="preserve"> Rs.500/-</w:t>
      </w:r>
      <w:r>
        <w:rPr>
          <w:sz w:val="23"/>
          <w:szCs w:val="23"/>
        </w:rPr>
        <w:t>) – (</w:t>
      </w:r>
      <w:r>
        <w:rPr>
          <w:b/>
          <w:bCs/>
          <w:sz w:val="23"/>
          <w:szCs w:val="23"/>
        </w:rPr>
        <w:t>Annexure E)</w:t>
      </w:r>
      <w:r>
        <w:rPr>
          <w:sz w:val="23"/>
          <w:szCs w:val="23"/>
        </w:rPr>
        <w:t xml:space="preserve">, </w:t>
      </w:r>
    </w:p>
    <w:p w:rsidR="0093527D" w:rsidRDefault="00792950" w:rsidP="00792950">
      <w:pPr>
        <w:pStyle w:val="Default"/>
        <w:rPr>
          <w:b/>
          <w:bCs/>
          <w:sz w:val="23"/>
          <w:szCs w:val="23"/>
        </w:rPr>
      </w:pPr>
      <w:proofErr w:type="gramStart"/>
      <w:r>
        <w:rPr>
          <w:sz w:val="23"/>
          <w:szCs w:val="23"/>
        </w:rPr>
        <w:t>(iv) No</w:t>
      </w:r>
      <w:proofErr w:type="gramEnd"/>
      <w:r>
        <w:rPr>
          <w:sz w:val="23"/>
          <w:szCs w:val="23"/>
        </w:rPr>
        <w:t xml:space="preserve"> objection certificate from all legal heirs who do not object to such transmission (“NOC”) – (</w:t>
      </w:r>
      <w:r>
        <w:rPr>
          <w:b/>
          <w:bCs/>
          <w:sz w:val="23"/>
          <w:szCs w:val="23"/>
        </w:rPr>
        <w:t xml:space="preserve">Annexure </w:t>
      </w:r>
      <w:r>
        <w:rPr>
          <w:b/>
          <w:bCs/>
          <w:sz w:val="23"/>
          <w:szCs w:val="23"/>
        </w:rPr>
        <w:t>– F)</w:t>
      </w:r>
    </w:p>
    <w:p w:rsidR="006D4B0E" w:rsidRDefault="006D4B0E" w:rsidP="00792950">
      <w:pPr>
        <w:pStyle w:val="Default"/>
        <w:rPr>
          <w:b/>
          <w:bCs/>
          <w:sz w:val="23"/>
          <w:szCs w:val="23"/>
        </w:rPr>
      </w:pPr>
    </w:p>
    <w:p w:rsidR="006D4B0E" w:rsidRDefault="006D4B0E" w:rsidP="006D4B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For value of securities up to rupees five lakhs per listed entity in case of securities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held in physical mode, and up to rupees fifteen lakhs per beneficial owner in case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of securities held in dematerialized mode, as on date of application by the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claimant, and where the documents mentioned in serial number 9 in </w:t>
      </w:r>
      <w:r>
        <w:rPr>
          <w:rFonts w:ascii="Arial" w:hAnsi="Arial" w:cs="Arial"/>
          <w:b/>
          <w:bCs/>
          <w:color w:val="0563C2"/>
          <w:sz w:val="24"/>
          <w:szCs w:val="24"/>
        </w:rPr>
        <w:t xml:space="preserve">Annexure </w:t>
      </w:r>
      <w:r>
        <w:rPr>
          <w:rFonts w:ascii="Arial,Bold" w:hAnsi="Arial,Bold" w:cs="Arial,Bold"/>
          <w:b/>
          <w:bCs/>
          <w:color w:val="0563C2"/>
          <w:sz w:val="24"/>
          <w:szCs w:val="24"/>
        </w:rPr>
        <w:t>–</w:t>
      </w:r>
      <w:r>
        <w:rPr>
          <w:rFonts w:ascii="Arial" w:hAnsi="Arial" w:cs="Arial"/>
          <w:b/>
          <w:bCs/>
          <w:color w:val="0563C2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, are not available, the legal heir(s) /claimant(s) may submit the following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documents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6D4B0E" w:rsidRDefault="006D4B0E" w:rsidP="006D4B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D4B0E" w:rsidRDefault="002D713B" w:rsidP="002D71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(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notarized indemnity bond made on non-judicial stamp paper of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appropriate value in the format provided in </w:t>
      </w:r>
      <w:r>
        <w:rPr>
          <w:rFonts w:ascii="Arial" w:hAnsi="Arial" w:cs="Arial"/>
          <w:b/>
          <w:bCs/>
          <w:color w:val="0563C2"/>
          <w:sz w:val="24"/>
          <w:szCs w:val="24"/>
        </w:rPr>
        <w:t xml:space="preserve">Annexure </w:t>
      </w:r>
      <w:r>
        <w:rPr>
          <w:rFonts w:ascii="Arial,Bold" w:hAnsi="Arial,Bold" w:cs="Arial,Bold"/>
          <w:b/>
          <w:bCs/>
          <w:color w:val="0563C2"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color w:val="0563C2"/>
          <w:sz w:val="24"/>
          <w:szCs w:val="24"/>
        </w:rPr>
        <w:t xml:space="preserve">E </w:t>
      </w:r>
      <w:r>
        <w:rPr>
          <w:rFonts w:ascii="Arial" w:hAnsi="Arial" w:cs="Arial"/>
          <w:color w:val="000000"/>
          <w:sz w:val="24"/>
          <w:szCs w:val="24"/>
        </w:rPr>
        <w:t>to this Circular,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indemnifying the Share Transfer Agent/ listed entity:</w:t>
      </w:r>
    </w:p>
    <w:p w:rsidR="002D713B" w:rsidRDefault="002D713B" w:rsidP="002D71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2D713B" w:rsidRDefault="002D713B" w:rsidP="002D713B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Arial" w:hAnsi="Arial" w:cs="Arial"/>
          <w:color w:val="000000"/>
          <w:sz w:val="24"/>
          <w:szCs w:val="24"/>
        </w:rPr>
        <w:t>(ii) no objection certificate from all legal heir(s) stating that they do not object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to such transmission in the format provided in </w:t>
      </w:r>
      <w:r>
        <w:rPr>
          <w:rFonts w:ascii="Arial" w:hAnsi="Arial" w:cs="Arial"/>
          <w:b/>
          <w:bCs/>
          <w:color w:val="0563C2"/>
          <w:sz w:val="24"/>
          <w:szCs w:val="24"/>
        </w:rPr>
        <w:t xml:space="preserve">Annexure </w:t>
      </w:r>
      <w:r>
        <w:rPr>
          <w:rFonts w:ascii="Arial,Bold" w:hAnsi="Arial,Bold" w:cs="Arial,Bold"/>
          <w:b/>
          <w:bCs/>
          <w:color w:val="0563C2"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color w:val="0563C2"/>
          <w:sz w:val="24"/>
          <w:szCs w:val="24"/>
        </w:rPr>
        <w:t xml:space="preserve">F </w:t>
      </w:r>
      <w:r>
        <w:rPr>
          <w:rFonts w:ascii="Arial" w:hAnsi="Arial" w:cs="Arial"/>
          <w:color w:val="000000"/>
          <w:sz w:val="24"/>
          <w:szCs w:val="24"/>
        </w:rPr>
        <w:t>to this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Circular or copy of family settlement deed executed by all the legal heirs,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duly attested by a notary public or by a gazetted officer; and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The listed entity may, at its discretion, enhance the value of securities from the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threshold limit of rupees five lakhs, in case of securities held in physical mode.</w:t>
      </w:r>
      <w:bookmarkStart w:id="0" w:name="_GoBack"/>
      <w:bookmarkEnd w:id="0"/>
    </w:p>
    <w:sectPr w:rsidR="002D713B" w:rsidSect="00981AAB">
      <w:pgSz w:w="11906" w:h="17338"/>
      <w:pgMar w:top="1159" w:right="533" w:bottom="658" w:left="118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00B"/>
    <w:rsid w:val="002D713B"/>
    <w:rsid w:val="0037000B"/>
    <w:rsid w:val="006D4B0E"/>
    <w:rsid w:val="00792950"/>
    <w:rsid w:val="0093527D"/>
    <w:rsid w:val="00FD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FBABE0-EB18-42FB-BF9E-877EC560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295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2023-05-20T07:04:00Z</dcterms:created>
  <dcterms:modified xsi:type="dcterms:W3CDTF">2023-05-20T07:35:00Z</dcterms:modified>
</cp:coreProperties>
</file>